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66"/>
      </w:tblGrid>
      <w:tr w:rsidR="005C2EC8" w:rsidRPr="00AB3E99" w14:paraId="33102BCE" w14:textId="77777777" w:rsidTr="009A486F">
        <w:trPr>
          <w:trHeight w:val="300"/>
        </w:trPr>
        <w:tc>
          <w:tcPr>
            <w:tcW w:w="6487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4155D7F3" w:rsidR="005C2EC8" w:rsidRPr="005C2EC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9A486F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244457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9A486F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244457">
              <w:rPr>
                <w:rFonts w:asciiTheme="minorHAnsi" w:hAnsiTheme="minorHAnsi" w:cstheme="minorBidi"/>
                <w:b/>
                <w:bCs/>
                <w:color w:val="21517E"/>
              </w:rPr>
              <w:t>10</w:t>
            </w:r>
            <w:r w:rsidR="009A486F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613B530D" w:rsidR="005C2EC8" w:rsidRPr="00AB3E99" w:rsidRDefault="009A486F" w:rsidP="00244457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Чернігівській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244457">
              <w:rPr>
                <w:rFonts w:ascii="Calibri" w:hAnsi="Calibri" w:cs="Calibri"/>
                <w:i/>
                <w:iCs/>
                <w:color w:val="DC9529"/>
              </w:rPr>
              <w:t>верес</w:t>
            </w:r>
            <w:r>
              <w:rPr>
                <w:rFonts w:ascii="Calibri" w:hAnsi="Calibri" w:cs="Calibri"/>
                <w:i/>
                <w:iCs/>
                <w:color w:val="DC9529"/>
              </w:rPr>
              <w:t>ень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3066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9A486F">
        <w:trPr>
          <w:trHeight w:val="1260"/>
        </w:trPr>
        <w:tc>
          <w:tcPr>
            <w:tcW w:w="6487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6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848AFF7" w14:textId="77777777" w:rsidR="009A486F" w:rsidRDefault="009A486F" w:rsidP="009A486F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27935FDD" w14:textId="77777777" w:rsidR="009A486F" w:rsidRPr="002530AB" w:rsidRDefault="009A486F" w:rsidP="009A486F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Чернігівській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5BD15F8D" w14:textId="7220F39E" w:rsidR="009A486F" w:rsidRPr="009A410E" w:rsidRDefault="008E7E16" w:rsidP="009A486F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 w:rsidR="009A486F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0722589C" wp14:editId="4BAE1C0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A486F">
              <w:rPr>
                <w:sz w:val="22"/>
                <w:szCs w:val="22"/>
                <w:lang w:eastAsia="uk-UA"/>
              </w:rPr>
              <w:t xml:space="preserve"> </w:t>
            </w:r>
            <w:r w:rsidR="009A486F">
              <w:t xml:space="preserve"> </w:t>
            </w:r>
            <w:r w:rsidR="009A486F"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9A486F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9A486F" w:rsidRPr="005F043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chernigivstat.gov.ua</w:t>
            </w:r>
          </w:p>
          <w:p w14:paraId="0A4B7BE4" w14:textId="77777777" w:rsidR="009A486F" w:rsidRPr="000802BE" w:rsidRDefault="009A486F" w:rsidP="009A486F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176440F" wp14:editId="611DD587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hyperlink r:id="rId17" w:history="1"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post@chernigivstat.gov.</w:t>
              </w:r>
              <w:bookmarkStart w:id="1" w:name="_Hlt145318702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u</w:t>
              </w:r>
              <w:bookmarkEnd w:id="1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a</w:t>
              </w:r>
            </w:hyperlink>
            <w:r w:rsidRPr="00DF01E1">
              <w:rPr>
                <w:sz w:val="22"/>
                <w:szCs w:val="22"/>
                <w:lang w:eastAsia="uk-UA"/>
              </w:rPr>
              <w:t>.</w:t>
            </w:r>
          </w:p>
          <w:p w14:paraId="75627548" w14:textId="0CDCA13D" w:rsidR="005C2EC8" w:rsidRPr="00E94112" w:rsidRDefault="009A486F" w:rsidP="009A486F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0959367" wp14:editId="1544BDD2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0462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67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50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27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52D248B5" w14:textId="012459C8" w:rsidR="009A486F" w:rsidRPr="00275DBA" w:rsidRDefault="009A486F" w:rsidP="009A486F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50086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січні-</w:t>
      </w:r>
      <w:r w:rsidR="00244457">
        <w:rPr>
          <w:rFonts w:ascii="Calibri" w:hAnsi="Calibri" w:cs="Calibri"/>
          <w:color w:val="1F4E79" w:themeColor="accent5" w:themeShade="80"/>
        </w:rPr>
        <w:t>верес</w:t>
      </w:r>
      <w:r>
        <w:rPr>
          <w:rFonts w:ascii="Calibri" w:hAnsi="Calibri" w:cs="Calibri"/>
          <w:color w:val="1F4E79" w:themeColor="accent5" w:themeShade="80"/>
        </w:rPr>
        <w:t xml:space="preserve">ні </w:t>
      </w:r>
      <w:r w:rsidRPr="0050086E">
        <w:rPr>
          <w:rFonts w:ascii="Calibri" w:hAnsi="Calibri" w:cs="Calibri"/>
          <w:color w:val="1F4E79" w:themeColor="accent5" w:themeShade="80"/>
        </w:rPr>
        <w:t>2025р. порівняно із</w:t>
      </w:r>
      <w:r w:rsidR="000D6621">
        <w:rPr>
          <w:rFonts w:ascii="Calibri" w:hAnsi="Calibri" w:cs="Calibri"/>
          <w:color w:val="1F4E79" w:themeColor="accent5" w:themeShade="80"/>
        </w:rPr>
        <w:t xml:space="preserve"> </w:t>
      </w:r>
      <w:r w:rsidRPr="0050086E">
        <w:rPr>
          <w:rFonts w:ascii="Calibri" w:hAnsi="Calibri" w:cs="Calibri"/>
          <w:color w:val="1F4E79" w:themeColor="accent5" w:themeShade="80"/>
        </w:rPr>
        <w:t>січнем−</w:t>
      </w:r>
      <w:r w:rsidR="00244457">
        <w:rPr>
          <w:rFonts w:ascii="Calibri" w:hAnsi="Calibri" w:cs="Calibri"/>
          <w:color w:val="1F4E79" w:themeColor="accent5" w:themeShade="80"/>
        </w:rPr>
        <w:t>вересн</w:t>
      </w:r>
      <w:r>
        <w:rPr>
          <w:rFonts w:ascii="Calibri" w:hAnsi="Calibri" w:cs="Calibri"/>
          <w:color w:val="1F4E79" w:themeColor="accent5" w:themeShade="80"/>
        </w:rPr>
        <w:t>ем</w:t>
      </w:r>
      <w:r w:rsidRPr="0050086E">
        <w:rPr>
          <w:rFonts w:ascii="Calibri" w:hAnsi="Calibri" w:cs="Calibri"/>
          <w:color w:val="1F4E79" w:themeColor="accent5" w:themeShade="80"/>
        </w:rPr>
        <w:t xml:space="preserve"> 2024р. з</w:t>
      </w:r>
      <w:r w:rsidR="00D900B6">
        <w:rPr>
          <w:rFonts w:ascii="Calibri" w:hAnsi="Calibri" w:cs="Calibri"/>
          <w:color w:val="1F4E79" w:themeColor="accent5" w:themeShade="80"/>
        </w:rPr>
        <w:t>мен</w:t>
      </w:r>
      <w:r w:rsidRPr="0050086E">
        <w:rPr>
          <w:rFonts w:ascii="Calibri" w:hAnsi="Calibri" w:cs="Calibri"/>
          <w:color w:val="1F4E79" w:themeColor="accent5" w:themeShade="80"/>
        </w:rPr>
        <w:t xml:space="preserve">шився на </w:t>
      </w:r>
      <w:r w:rsidR="00D900B6">
        <w:rPr>
          <w:rFonts w:ascii="Calibri" w:hAnsi="Calibri" w:cs="Calibri"/>
          <w:color w:val="1F4E79" w:themeColor="accent5" w:themeShade="80"/>
        </w:rPr>
        <w:t>2</w:t>
      </w:r>
      <w:r>
        <w:rPr>
          <w:rFonts w:ascii="Calibri" w:hAnsi="Calibri" w:cs="Calibri"/>
          <w:color w:val="1F4E79" w:themeColor="accent5" w:themeShade="80"/>
        </w:rPr>
        <w:t>0</w:t>
      </w:r>
      <w:r w:rsidRPr="0050086E">
        <w:rPr>
          <w:rFonts w:ascii="Calibri" w:hAnsi="Calibri" w:cs="Calibri"/>
          <w:color w:val="1F4E79" w:themeColor="accent5" w:themeShade="80"/>
        </w:rPr>
        <w:t>,</w:t>
      </w:r>
      <w:r w:rsidR="00D900B6">
        <w:rPr>
          <w:rFonts w:ascii="Calibri" w:hAnsi="Calibri" w:cs="Calibri"/>
          <w:color w:val="1F4E79" w:themeColor="accent5" w:themeShade="80"/>
        </w:rPr>
        <w:t>9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3259EAD8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3259EAD8">
        <w:tc>
          <w:tcPr>
            <w:tcW w:w="3261" w:type="dxa"/>
            <w:vMerge/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9A486F" w:rsidRPr="00B43F7F" w14:paraId="0214882F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9A486F" w:rsidRPr="00353E37" w:rsidRDefault="009A486F" w:rsidP="009A486F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Господарства всіх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6621C839" w:rsidR="009A486F" w:rsidRPr="00316D0E" w:rsidRDefault="00244457" w:rsidP="002444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79</w:t>
            </w:r>
            <w:r w:rsidR="009A486F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6C620FF9" w:rsidR="009A486F" w:rsidRPr="00316D0E" w:rsidRDefault="00244457" w:rsidP="002444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76,9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23CE172D" w:rsidR="009A486F" w:rsidRPr="00316D0E" w:rsidRDefault="009A486F" w:rsidP="002444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95,</w:t>
            </w:r>
            <w:r w:rsidR="0024445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2</w:t>
            </w:r>
          </w:p>
        </w:tc>
      </w:tr>
      <w:tr w:rsidR="009A486F" w:rsidRPr="00B43F7F" w14:paraId="56F9D9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9A486F" w:rsidRPr="00353E37" w:rsidRDefault="009A486F" w:rsidP="009A486F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9A486F" w:rsidRPr="00316D0E" w:rsidRDefault="009A486F" w:rsidP="009A486F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9A486F" w:rsidRPr="00B43F7F" w14:paraId="76A84CFA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9A486F" w:rsidRPr="00353E37" w:rsidRDefault="009A486F" w:rsidP="009A486F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5BA4148D" w:rsidR="009A486F" w:rsidRPr="00316D0E" w:rsidRDefault="00244457" w:rsidP="002444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74</w:t>
            </w:r>
            <w:r w:rsidR="009A486F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3CB4E40D" w:rsidR="009A486F" w:rsidRPr="00316D0E" w:rsidRDefault="00244457" w:rsidP="002444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72</w:t>
            </w:r>
            <w:r w:rsidR="009A486F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6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2B1BF852" w:rsidR="009A486F" w:rsidRPr="00316D0E" w:rsidRDefault="009A486F" w:rsidP="002444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  <w:r w:rsidR="0024445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24445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</w:p>
        </w:tc>
      </w:tr>
      <w:tr w:rsidR="009A486F" w:rsidRPr="00B43F7F" w14:paraId="28786F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9A486F" w:rsidRPr="00353E37" w:rsidRDefault="009A486F" w:rsidP="009A486F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04422856" w:rsidR="009A486F" w:rsidRPr="00316D0E" w:rsidRDefault="00244457" w:rsidP="002444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104</w:t>
            </w:r>
            <w:r w:rsidR="009A486F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04FF73CC" w:rsidR="009A486F" w:rsidRPr="00316D0E" w:rsidRDefault="009A486F" w:rsidP="002444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10</w:t>
            </w:r>
            <w:r w:rsidR="0024445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24445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58D52E39" w:rsidR="009A486F" w:rsidRPr="00316D0E" w:rsidRDefault="009A486F" w:rsidP="002444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</w:t>
            </w:r>
            <w:r w:rsidR="0024445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4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,</w:t>
            </w:r>
            <w:r w:rsidR="0024445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</w:t>
            </w:r>
          </w:p>
        </w:tc>
      </w:tr>
    </w:tbl>
    <w:p w14:paraId="71028792" w14:textId="44BCA2D3" w:rsidR="37DCEB36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3259EAD8">
        <w:tc>
          <w:tcPr>
            <w:tcW w:w="9629" w:type="dxa"/>
          </w:tcPr>
          <w:p w14:paraId="44AFA82D" w14:textId="363A9DB6"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3259EAD8">
        <w:tc>
          <w:tcPr>
            <w:tcW w:w="9629" w:type="dxa"/>
          </w:tcPr>
          <w:p w14:paraId="4E08BCC5" w14:textId="0B543E59"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3259EAD8">
        <w:tc>
          <w:tcPr>
            <w:tcW w:w="9629" w:type="dxa"/>
          </w:tcPr>
          <w:p w14:paraId="04E275E0" w14:textId="66523771"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3259EAD8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3259EAD8">
        <w:tc>
          <w:tcPr>
            <w:tcW w:w="9629" w:type="dxa"/>
          </w:tcPr>
          <w:p w14:paraId="066CE1BC" w14:textId="17D07802"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3259EAD8">
        <w:tc>
          <w:tcPr>
            <w:tcW w:w="9629" w:type="dxa"/>
          </w:tcPr>
          <w:p w14:paraId="47595AD1" w14:textId="4B1455C8"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77A3CDDA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7D788390" w14:textId="703286C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59C271E2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№37-сг (місячна) "Звіт про збирання врожаю сільськогосподарських культур" та формою №</w:t>
            </w:r>
            <w:r w:rsidR="0E539199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A6F1380" w14:textId="58B776DC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639D9B67" w14:textId="5485928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0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9B8920D" w14:textId="1F09529D"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9A486F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3259EAD8">
        <w:tc>
          <w:tcPr>
            <w:tcW w:w="9629" w:type="dxa"/>
          </w:tcPr>
          <w:p w14:paraId="321A307A" w14:textId="6B22D235"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3259EAD8">
        <w:tc>
          <w:tcPr>
            <w:tcW w:w="9629" w:type="dxa"/>
          </w:tcPr>
          <w:p w14:paraId="54299BCB" w14:textId="7E29EF20"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61FA0B" w14:textId="3FD989F3" w:rsidR="00480B3F" w:rsidRPr="00854978" w:rsidRDefault="00480B3F" w:rsidP="00480B3F">
      <w:pPr>
        <w:jc w:val="both"/>
        <w:rPr>
          <w:rFonts w:ascii="Calibri" w:hAnsi="Calibri"/>
          <w:sz w:val="26"/>
          <w:szCs w:val="26"/>
        </w:rPr>
      </w:pPr>
      <w:bookmarkStart w:id="2" w:name="_GoBack"/>
      <w:bookmarkEnd w:id="2"/>
    </w:p>
    <w:p w14:paraId="28634E25" w14:textId="37DBE47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C2410E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466D63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0DF246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B83D75B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E9C5C2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2545528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53A36B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B10913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B60980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F97470C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8D5F2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F87C25E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6386545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91C8BB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CE7E67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D438C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92A113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33A48FD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0F121D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6B448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AF0E8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ACCA80E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858139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F3DD38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7A9FFC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6585D17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6F80D54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241E6B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AFAC9D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7DD049" w14:textId="77777777" w:rsidR="00480B3F" w:rsidRDefault="00480B3F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180DAD2A" w14:textId="77777777" w:rsidR="009A486F" w:rsidRPr="00285E2D" w:rsidRDefault="009A486F" w:rsidP="009A486F">
            <w:pPr>
              <w:jc w:val="both"/>
              <w:rPr>
                <w:rStyle w:val="a5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B3000F"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DF01E1">
              <w:rPr>
                <w:rFonts w:ascii="Calibri Light" w:hAnsi="Calibri Light" w:cs="Calibri Light"/>
                <w:color w:val="666666"/>
              </w:rPr>
              <w:t xml:space="preserve">(0462) 676-534; </w:t>
            </w:r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>e-</w:t>
            </w:r>
            <w:proofErr w:type="spellStart"/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>mail</w:t>
            </w:r>
            <w:proofErr w:type="spellEnd"/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 xml:space="preserve">: </w:t>
            </w:r>
            <w:hyperlink r:id="rId21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post@chernigivstat.gov.ua</w:t>
              </w:r>
            </w:hyperlink>
          </w:p>
          <w:p w14:paraId="5FB8F4EB" w14:textId="77777777" w:rsidR="009A486F" w:rsidRPr="00285E2D" w:rsidRDefault="009A486F" w:rsidP="009A486F">
            <w:pPr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22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http://www.chernigivstat.gov.ua/statdani/S_hos/index.php</w:t>
              </w:r>
            </w:hyperlink>
          </w:p>
          <w:p w14:paraId="242F9023" w14:textId="5598B698" w:rsidR="00A36402" w:rsidRPr="005E0CF1" w:rsidRDefault="009A486F" w:rsidP="009A486F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Чернігівській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8E7E16">
      <w:pPr>
        <w:widowControl w:val="0"/>
      </w:pPr>
    </w:p>
    <w:sectPr w:rsidR="00A36402" w:rsidSect="0043435C">
      <w:footerReference w:type="even" r:id="rId23"/>
      <w:footerReference w:type="default" r:id="rId24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4E166" w14:textId="77777777" w:rsidR="00396762" w:rsidRDefault="00396762" w:rsidP="005345A4">
      <w:r>
        <w:separator/>
      </w:r>
    </w:p>
  </w:endnote>
  <w:endnote w:type="continuationSeparator" w:id="0">
    <w:p w14:paraId="13B5ACA6" w14:textId="77777777" w:rsidR="00396762" w:rsidRDefault="00396762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CF01B0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63C95" w14:textId="77777777" w:rsidR="00396762" w:rsidRDefault="00396762" w:rsidP="005345A4">
      <w:r>
        <w:separator/>
      </w:r>
    </w:p>
  </w:footnote>
  <w:footnote w:type="continuationSeparator" w:id="0">
    <w:p w14:paraId="3F9AE2FD" w14:textId="77777777" w:rsidR="00396762" w:rsidRDefault="00396762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621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4457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0792D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762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80B3F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FB5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072C6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7E16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A486F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C76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01B0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00B6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5D4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paragraph" w:customStyle="1" w:styleId="aff1">
    <w:name w:val="Знак Знак"/>
    <w:basedOn w:val="a0"/>
    <w:rsid w:val="00480B3F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post@chernigivstat.gov.ua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hyperlink" Target="mailto:post@chernigivstat.gov.ua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www.ukrstat.gov.ua/norm_doc/2023/180/18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://www.chernigivstat.gov.ua/statdani/S_hos/index.php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79AD2E-9FBB-40A8-A524-DEDC31CB1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2388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2</cp:revision>
  <dcterms:created xsi:type="dcterms:W3CDTF">2025-10-22T07:35:00Z</dcterms:created>
  <dcterms:modified xsi:type="dcterms:W3CDTF">2025-10-22T07:35:00Z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